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  <w:tab w:val="left" w:pos="4320"/>
        </w:tabs>
        <w:spacing w:line="600" w:lineRule="exact"/>
        <w:jc w:val="center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</w:rPr>
        <w:t>济源</w:t>
      </w:r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eastAsia="zh-CN"/>
        </w:rPr>
        <w:t>市</w:t>
      </w:r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</w:rPr>
        <w:t>数字化</w:t>
      </w:r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eastAsia="zh-CN"/>
        </w:rPr>
        <w:t>城市</w:t>
      </w:r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</w:rPr>
        <w:t>管理绩效考评细则</w:t>
      </w:r>
    </w:p>
    <w:p>
      <w:pPr>
        <w:pStyle w:val="2"/>
        <w:jc w:val="center"/>
        <w:rPr>
          <w:rFonts w:hint="eastAsia" w:ascii="宋体" w:hAnsi="宋体" w:eastAsia="楷体_GB2312" w:cs="楷体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为进一步提升数字化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管理工作效能，充分调动责任单位积极性，根据数字化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管理工作国家标准和《济源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人民政府关于印发济源数字化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管理监督办法的通知》（济政〔2017〕22号），制定本考评细则。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、考评对象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数字化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管理责任单位，包括：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中心区域内的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片区管理办公室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、镇人民政府、街道办事处、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各区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直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、驻济单位及企业、高等院校等。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、考评原则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1.遵循公开、公平、公正的原则；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2.以科学、量化、数据考评为主的原则；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3.坚持月度、年度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考评指标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考评指标分为日常考评指标和综合考评指标。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4" w:leftChars="0" w:firstLine="420" w:firstLineChars="0"/>
        <w:jc w:val="both"/>
        <w:textAlignment w:val="auto"/>
        <w:outlineLvl w:val="9"/>
        <w:rPr>
          <w:rFonts w:hint="eastAsia" w:ascii="宋体" w:hAnsi="宋体" w:eastAsia="楷体_GB2312" w:cs="楷体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楷体_GB2312" w:cs="楷体_GB2312"/>
          <w:b w:val="0"/>
          <w:bCs w:val="0"/>
          <w:color w:val="auto"/>
          <w:spacing w:val="0"/>
          <w:sz w:val="32"/>
          <w:szCs w:val="32"/>
          <w:lang w:eastAsia="zh-CN"/>
        </w:rPr>
        <w:t>日常考评指标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日常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满分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100分，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为以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下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个指标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得分总和。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1.办结率（2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办结率=办结数/应办结数×100%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周期内按期办结和超期办结案件数之和。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应办结数：责任单位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周期内应办理的全部案件数。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本项得分：办结率×2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2.按期办结率（2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按期办结率=按期办结数/应办结数×100%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按期办结数：责任单位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周期规定时限内办结的案件数。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应办结数：责任单位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周期内应办理的全部案件数。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本项得分：按期办结率×2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3.一次办结率（2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一次办结率=（办结数-返工次数）/应办结数×100%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周期内按期办结和超期办结案件数之和。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返工次数：责任单位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周期内问题处置反馈后，因未通过审核而造成的案件返工次数（同一案件多次返工的重复计算）。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应办结数：责任单位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周期内应办理的全部案件数。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本项得分：一次办结率×2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注：此项得分扣完为止，不计负分。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.延期率（10分）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延期率=延期数/应办结数×100%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延期数：责任单位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周期内申请延期的案件数（同一案件多次延期的重复计算）。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应办结数：责任单位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周期内应办理的全部案件数。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本项得分：（1-延期率）×1</w:t>
      </w:r>
      <w:r>
        <w:rPr>
          <w:rFonts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5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注：此项得分不计负分。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.工作量（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工作量=办结数/最多办结数×100%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当月内按期办结和超期办结案件数之和。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最多办结数：同类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组内，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当月办结数最多责任单位的办结数。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本项得分：工作量×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.案件积压率（5分）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案件积压率=案件积压数/案件总数×100%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案件积压数：本年度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周期前所有未办结的案件数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案件总数：本年度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周期前案件总数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本项得分：（1-案件积压率）×5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.处置通应用率（5分）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处置通应用率=有效应用数/办结数×100%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有效应用数：案件处置完成后，当月应用“处置通”进行真实、及时的结果反馈，经监督指挥中心审核，可作为结案依据并结案的案件数总和。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办结数：责任单位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当月内按期办结和超期办结案件数之和。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本项得分：处置通应用率×5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04" w:leftChars="0" w:firstLine="420" w:firstLineChars="0"/>
        <w:jc w:val="both"/>
        <w:textAlignment w:val="auto"/>
        <w:outlineLvl w:val="9"/>
        <w:rPr>
          <w:rFonts w:hint="eastAsia" w:ascii="宋体" w:hAnsi="宋体" w:eastAsia="楷体_GB2312" w:cs="楷体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楷体_GB2312" w:cs="楷体_GB2312"/>
          <w:b w:val="0"/>
          <w:bCs w:val="0"/>
          <w:color w:val="auto"/>
          <w:spacing w:val="0"/>
          <w:sz w:val="32"/>
          <w:szCs w:val="32"/>
          <w:lang w:eastAsia="zh-CN"/>
        </w:rPr>
        <w:t>综合考评指标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综合考评满分为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100分，为以下3个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指标得分总和。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1.督办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（50分）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事项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转办责任单位后，责任单位因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久拖不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办而给济源数字城管工作运行指标造成影响的，数字城管中心将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以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书面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形式进行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督办，每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被书面督办一次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扣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通报（30分）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责任单位在事项接收、办理和反馈过程中，出现弄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虚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作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假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或其他不文明行为的，数字城管中心将以书面形式进行通报，每被书面通报一次扣10分。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曝光（20分）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责任单位对转办事项办理不力，在电视台、报纸、网络等媒体上被曝光，或在社会上造成不良影响的，每次扣10分。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四、考评周期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考评周期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分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为月度考评和年度考评两个周期。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⒈月度考评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月度考评以每月系统自动生成的数据为考评依据，采取百分制，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得分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为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当月日常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考评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指标得分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⒉年度考评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default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年度考评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分为日常考评和综合考评两部分，采取百分制，其中日常考评占比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90%，综合考评占比10%。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日常考评得分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取月度考评得分的平均值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，综合考评得分为本年度各综合考评指标得分之和。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五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szCs w:val="32"/>
        </w:rPr>
        <w:t>、考评结果应用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1.月度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结果纳入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文明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创建工作考评体系，并通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过相关媒体进行公示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宋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2.年度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结果纳入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济源示范区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年度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综合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目标考核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，对工作成绩突出、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成绩优异的责任单位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报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示范区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</w:rPr>
        <w:t>同意后予以表彰。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自本办法下发之日起，原数字化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城市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管理考评细则</w:t>
      </w:r>
      <w:r>
        <w:rPr>
          <w:rFonts w:hint="eastAsia" w:ascii="宋体" w:hAnsi="宋体" w:eastAsia="仿宋_GB2312" w:cs="宋体"/>
          <w:b w:val="0"/>
          <w:bCs w:val="0"/>
          <w:color w:val="auto"/>
          <w:spacing w:val="0"/>
          <w:sz w:val="32"/>
          <w:szCs w:val="32"/>
          <w:lang w:val="en-US" w:eastAsia="zh-CN"/>
        </w:rPr>
        <w:t>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宋体" w:hAnsi="宋体" w:eastAsia="仿宋_GB2312" w:cs="宋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附：1.</w:t>
      </w: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32"/>
          <w:szCs w:val="32"/>
        </w:rPr>
        <w:t>___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年济源数字化城市管理</w:t>
      </w: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32"/>
          <w:szCs w:val="32"/>
        </w:rPr>
        <w:t>__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月份</w:t>
      </w:r>
      <w:r>
        <w:rPr>
          <w:rFonts w:hint="eastAsia" w:ascii="宋体" w:hAnsi="宋体" w:cs="仿宋_GB2312"/>
          <w:b w:val="0"/>
          <w:bCs w:val="0"/>
          <w:color w:val="auto"/>
          <w:spacing w:val="0"/>
          <w:sz w:val="32"/>
          <w:szCs w:val="32"/>
          <w:lang w:eastAsia="zh-CN"/>
        </w:rPr>
        <w:t>考评表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sectPr>
          <w:footerReference r:id="rId3" w:type="default"/>
          <w:pgSz w:w="11906" w:h="16838"/>
          <w:pgMar w:top="1871" w:right="1474" w:bottom="1701" w:left="1587" w:header="851" w:footer="1531" w:gutter="0"/>
          <w:pgNumType w:fmt="decimal" w:start="1"/>
          <w:cols w:space="720" w:num="1"/>
          <w:rtlGutter w:val="0"/>
          <w:docGrid w:type="linesAndChars" w:linePitch="442" w:charSpace="3193"/>
        </w:sectPr>
      </w:pP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 xml:space="preserve">    2.</w:t>
      </w:r>
      <w:r>
        <w:rPr>
          <w:rFonts w:hint="eastAsia" w:ascii="宋体" w:hAnsi="宋体" w:eastAsia="方正小标宋简体" w:cs="方正小标宋简体"/>
          <w:b w:val="0"/>
          <w:bCs w:val="0"/>
          <w:spacing w:val="0"/>
          <w:sz w:val="32"/>
          <w:szCs w:val="32"/>
        </w:rPr>
        <w:t>___</w:t>
      </w:r>
      <w:r>
        <w:rPr>
          <w:rFonts w:hint="eastAsia" w:ascii="宋体" w:hAnsi="宋体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年度济源数字化城市管理考评表</w:t>
      </w:r>
    </w:p>
    <w:p>
      <w:pPr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附1</w:t>
      </w:r>
    </w:p>
    <w:p>
      <w:pPr>
        <w:spacing w:line="600" w:lineRule="exact"/>
        <w:jc w:val="center"/>
        <w:rPr>
          <w:rFonts w:hint="eastAsia" w:ascii="宋体" w:hAnsi="宋体" w:eastAsia="黑体" w:cs="黑体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</w:rPr>
        <w:t>___</w:t>
      </w: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方正小标宋简体" w:cs="方正小标宋简体"/>
          <w:bCs/>
          <w:sz w:val="44"/>
          <w:szCs w:val="44"/>
        </w:rPr>
        <w:t>济源数字化城市管理__月份</w:t>
      </w:r>
      <w:r>
        <w:rPr>
          <w:rFonts w:hint="eastAsia" w:ascii="宋体" w:hAnsi="宋体" w:eastAsia="方正小标宋简体" w:cs="方正小标宋简体"/>
          <w:bCs/>
          <w:sz w:val="44"/>
          <w:szCs w:val="44"/>
          <w:lang w:eastAsia="zh-CN"/>
        </w:rPr>
        <w:t>考评表</w:t>
      </w:r>
    </w:p>
    <w:tbl>
      <w:tblPr>
        <w:tblStyle w:val="6"/>
        <w:tblW w:w="13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91"/>
        <w:gridCol w:w="909"/>
        <w:gridCol w:w="794"/>
        <w:gridCol w:w="955"/>
        <w:gridCol w:w="695"/>
        <w:gridCol w:w="887"/>
        <w:gridCol w:w="791"/>
        <w:gridCol w:w="790"/>
        <w:gridCol w:w="737"/>
        <w:gridCol w:w="941"/>
        <w:gridCol w:w="832"/>
        <w:gridCol w:w="886"/>
        <w:gridCol w:w="1159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专业部门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应办结数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办结率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得分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按期</w:t>
            </w:r>
          </w:p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办结率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得分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一次</w:t>
            </w:r>
          </w:p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办结率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得分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延期率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得分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案件积压率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得分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工作量得分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处置通</w:t>
            </w:r>
          </w:p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应用得分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黑体" w:cs="Arial"/>
                <w:kern w:val="0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仿宋"/>
                <w:i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黑体" w:cs="黑体"/>
          <w:sz w:val="30"/>
          <w:szCs w:val="30"/>
          <w:lang w:eastAsia="zh-CN"/>
        </w:rPr>
      </w:pPr>
      <w:r>
        <w:rPr>
          <w:rFonts w:hint="eastAsia" w:ascii="宋体" w:hAnsi="宋体" w:eastAsia="黑体" w:cs="黑体"/>
          <w:sz w:val="30"/>
          <w:szCs w:val="30"/>
        </w:rPr>
        <w:br w:type="page"/>
      </w:r>
      <w:r>
        <w:rPr>
          <w:rFonts w:hint="eastAsia" w:ascii="宋体" w:hAnsi="宋体" w:eastAsia="黑体" w:cs="黑体"/>
          <w:sz w:val="30"/>
          <w:szCs w:val="30"/>
        </w:rPr>
        <w:t>附</w:t>
      </w:r>
      <w:r>
        <w:rPr>
          <w:rFonts w:hint="eastAsia" w:ascii="宋体" w:hAnsi="宋体" w:eastAsia="黑体" w:cs="黑体"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</w:rPr>
        <w:t>___</w:t>
      </w:r>
      <w:r>
        <w:rPr>
          <w:rFonts w:hint="eastAsia" w:ascii="宋体" w:hAnsi="宋体" w:eastAsia="方正小标宋简体" w:cs="方正小标宋简体"/>
          <w:bCs/>
          <w:sz w:val="44"/>
          <w:szCs w:val="44"/>
          <w:lang w:eastAsia="zh-CN"/>
        </w:rPr>
        <w:t>年度济源数字化城市管理考评表</w:t>
      </w:r>
    </w:p>
    <w:tbl>
      <w:tblPr>
        <w:tblStyle w:val="7"/>
        <w:tblpPr w:leftFromText="180" w:rightFromText="180" w:vertAnchor="text" w:horzAnchor="page" w:tblpX="1323" w:tblpY="318"/>
        <w:tblOverlap w:val="never"/>
        <w:tblW w:w="14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14"/>
        <w:gridCol w:w="613"/>
        <w:gridCol w:w="628"/>
        <w:gridCol w:w="668"/>
        <w:gridCol w:w="654"/>
        <w:gridCol w:w="600"/>
        <w:gridCol w:w="628"/>
        <w:gridCol w:w="613"/>
        <w:gridCol w:w="668"/>
        <w:gridCol w:w="696"/>
        <w:gridCol w:w="695"/>
        <w:gridCol w:w="737"/>
        <w:gridCol w:w="709"/>
        <w:gridCol w:w="722"/>
        <w:gridCol w:w="696"/>
        <w:gridCol w:w="668"/>
        <w:gridCol w:w="736"/>
        <w:gridCol w:w="723"/>
        <w:gridCol w:w="873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18"/>
                <w:szCs w:val="18"/>
              </w:rPr>
            </w:pPr>
          </w:p>
        </w:tc>
        <w:tc>
          <w:tcPr>
            <w:tcW w:w="9245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黑体" w:cs="Arial"/>
                <w:kern w:val="0"/>
                <w:sz w:val="18"/>
                <w:szCs w:val="18"/>
                <w:lang w:eastAsia="zh-CN"/>
              </w:rPr>
              <w:t>日常考评</w:t>
            </w:r>
          </w:p>
        </w:tc>
        <w:tc>
          <w:tcPr>
            <w:tcW w:w="3696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黑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黑体" w:cs="Arial"/>
                <w:kern w:val="0"/>
                <w:sz w:val="18"/>
                <w:szCs w:val="18"/>
                <w:lang w:eastAsia="zh-CN"/>
              </w:rPr>
              <w:t>综合考评</w:t>
            </w:r>
          </w:p>
        </w:tc>
        <w:tc>
          <w:tcPr>
            <w:tcW w:w="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Arial"/>
                <w:kern w:val="0"/>
                <w:sz w:val="18"/>
                <w:szCs w:val="18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1月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2月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3月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4月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5月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6月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7月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8月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9月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10月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11月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pacing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12月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pacing w:val="0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平均分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折合分数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0"/>
                <w:sz w:val="18"/>
                <w:szCs w:val="18"/>
                <w:vertAlign w:val="baseline"/>
                <w:lang w:eastAsia="zh-CN"/>
              </w:rPr>
              <w:t>督办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spacing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黑体" w:cs="黑体"/>
                <w:spacing w:val="0"/>
                <w:sz w:val="18"/>
                <w:szCs w:val="18"/>
                <w:vertAlign w:val="baseline"/>
                <w:lang w:eastAsia="zh-CN"/>
              </w:rPr>
              <w:t>通报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曝光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折合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18"/>
                <w:szCs w:val="18"/>
                <w:u w:val="none"/>
                <w:lang w:val="en-US" w:eastAsia="zh-CN" w:bidi="ar"/>
              </w:rPr>
              <w:t>分数</w:t>
            </w:r>
          </w:p>
        </w:tc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pacing w:val="6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1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pacing w:val="0"/>
                <w:sz w:val="36"/>
                <w:szCs w:val="36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3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17" w:firstLine="630" w:firstLineChars="200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pacing w:val="0"/>
          <w:sz w:val="30"/>
          <w:szCs w:val="30"/>
        </w:rPr>
        <w:sectPr>
          <w:headerReference r:id="rId4" w:type="default"/>
          <w:footerReference r:id="rId5" w:type="default"/>
          <w:footerReference r:id="rId6" w:type="even"/>
          <w:pgSz w:w="16838" w:h="11906" w:orient="landscape"/>
          <w:pgMar w:top="1417" w:right="1417" w:bottom="1417" w:left="1417" w:header="851" w:footer="1304" w:gutter="0"/>
          <w:pgNumType w:fmt="decimal"/>
          <w:cols w:space="720" w:num="1"/>
          <w:rtlGutter w:val="0"/>
          <w:docGrid w:type="linesAndChars" w:linePitch="453" w:charSpace="3193"/>
        </w:sectPr>
      </w:pPr>
    </w:p>
    <w:p>
      <w:bookmarkStart w:id="0" w:name="_GoBack"/>
      <w:bookmarkEnd w:id="0"/>
      <w:r>
        <w:rPr>
          <w:rFonts w:ascii="宋体" w:hAnsi="宋体"/>
          <w:b w:val="0"/>
          <w:bCs/>
          <w:spacing w:val="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8263890</wp:posOffset>
                </wp:positionV>
                <wp:extent cx="5632450" cy="5772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5772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56" w:firstLineChars="20"/>
                              <w:textAlignment w:val="auto"/>
                              <w:rPr>
                                <w:rFonts w:hint="eastAsia" w:ascii="宋体" w:hAnsi="宋体" w:eastAsia="仿宋_GB2312" w:cs="仿宋_GB2312"/>
                                <w:spacing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color w:val="000000"/>
                                <w:spacing w:val="0"/>
                                <w:sz w:val="28"/>
                                <w:szCs w:val="28"/>
                              </w:rPr>
                              <w:t>济源市行政服务中心办公室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</w:rPr>
                              <w:t>日印</w:t>
                            </w:r>
                            <w:r>
                              <w:rPr>
                                <w:rFonts w:hint="eastAsia" w:ascii="宋体" w:hAnsi="宋体" w:eastAsia="仿宋_GB2312" w:cs="仿宋_GB2312"/>
                                <w:b w:val="0"/>
                                <w:bCs/>
                                <w:spacing w:val="0"/>
                                <w:sz w:val="28"/>
                                <w:szCs w:val="28"/>
                                <w:lang w:eastAsia="zh-CN"/>
                              </w:rPr>
                              <w:t>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6pt;margin-top:650.7pt;height:45.45pt;width:443.5pt;z-index:251660288;mso-width-relative:page;mso-height-relative:page;" filled="f" stroked="f" coordsize="21600,21600" o:gfxdata="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i70+DbAAAA&#10;DAEAAA8AAAAAAAAAAQAgAAAAIgAAAGRycy9kb3ducmV2LnhtbFBLAQIUABQAAAAIAIdO4kALkiZ7&#10;4QEAAK0DAAAOAAAAAAAAAAEAIAAAACoBAABkcnMvZTJvRG9jLnhtbFBLBQYAAAAABgAGAFkBAAB9&#10;BQAAAAA=&#10;">
                <v:fill on="f" focussize="0,0"/>
                <v:stroke on="f" weight="1.25pt" miterlimit="8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56" w:firstLineChars="20"/>
                        <w:textAlignment w:val="auto"/>
                        <w:rPr>
                          <w:rFonts w:hint="eastAsia" w:ascii="宋体" w:hAnsi="宋体" w:eastAsia="仿宋_GB2312" w:cs="仿宋_GB2312"/>
                          <w:spacing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color w:val="000000"/>
                          <w:spacing w:val="0"/>
                          <w:sz w:val="28"/>
                          <w:szCs w:val="28"/>
                        </w:rPr>
                        <w:t>济源市行政服务中心办公室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cs="仿宋_GB2312"/>
                          <w:b w:val="0"/>
                          <w:bCs/>
                          <w:spacing w:val="0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cs="仿宋_GB2312"/>
                          <w:b w:val="0"/>
                          <w:bCs/>
                          <w:spacing w:val="0"/>
                          <w:sz w:val="28"/>
                          <w:szCs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cs="仿宋_GB2312"/>
                          <w:b w:val="0"/>
                          <w:bCs/>
                          <w:spacing w:val="0"/>
                          <w:sz w:val="28"/>
                          <w:szCs w:val="28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</w:rPr>
                        <w:t>日印</w:t>
                      </w:r>
                      <w:r>
                        <w:rPr>
                          <w:rFonts w:hint="eastAsia" w:ascii="宋体" w:hAnsi="宋体" w:eastAsia="仿宋_GB2312" w:cs="仿宋_GB2312"/>
                          <w:b w:val="0"/>
                          <w:bCs/>
                          <w:spacing w:val="0"/>
                          <w:sz w:val="28"/>
                          <w:szCs w:val="28"/>
                          <w:lang w:eastAsia="zh-CN"/>
                        </w:rPr>
                        <w:t>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 w:val="0"/>
          <w:bCs/>
          <w:spacing w:val="0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8295640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4pt;margin-top:653.2pt;height:0pt;width:441pt;z-index:251665408;mso-width-relative:page;mso-height-relative:page;" filled="f" stroked="t" coordsize="21600,21600" o:gfxdata="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wbOrPYAAAADQEAAA8AAAAAAAAA&#10;AQAgAAAAIgAAAGRycy9kb3ducmV2LnhtbFBLAQIUABQAAAAIAIdO4kC/sNfi2AEAAJYDAAAOAAAA&#10;AAAAAAEAIAAAACcBAABkcnMvZTJvRG9jLnhtbFBLBQYAAAAABgAGAFkBAABxBQAAAAA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 w:val="0"/>
          <w:bCs/>
          <w:spacing w:val="0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8796655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4pt;margin-top:692.65pt;height:0pt;width:441pt;z-index:251661312;mso-width-relative:page;mso-height-relative:page;" filled="f" stroked="t" coordsize="21600,21600" o:gfxdata="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VtX71wAAAAwBAAAPAAAAAAAAAAEA&#10;IAAAACIAAABkcnMvZG93bnJldi54bWxQSwECFAAUAAAACACHTuJAIuarsNcBAACWAwAADgAAAAAA&#10;AAABACAAAAAmAQAAZHJzL2Uyb0RvYy54bWxQSwUGAAAAAAYABgBZAQAAbwUAAAAA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81" w:rightChars="90" w:firstLine="292" w:firstLineChars="100"/>
                            <w:rPr>
                              <w:rFonts w:hint="default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81" w:rightChars="90" w:firstLine="292" w:firstLineChars="100"/>
                      <w:rPr>
                        <w:rFonts w:hint="default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eastAsia" w:eastAsia="宋体"/>
        <w:sz w:val="28"/>
        <w:szCs w:val="28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292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92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default" w:eastAsia="仿宋_GB2312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863D6"/>
    <w:multiLevelType w:val="singleLevel"/>
    <w:tmpl w:val="680863D6"/>
    <w:lvl w:ilvl="0" w:tentative="0">
      <w:start w:val="1"/>
      <w:numFmt w:val="chineseCounting"/>
      <w:suff w:val="nothing"/>
      <w:lvlText w:val="（%1）"/>
      <w:lvlJc w:val="left"/>
      <w:pPr>
        <w:ind w:left="204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55FD"/>
    <w:rsid w:val="66C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宋体" w:hAnsi="宋体" w:eastAsia="仿宋_GB2312" w:cs="Times New Roman"/>
      <w:spacing w:val="6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2022-08-02T09:57:00Z</dcterms:created>
  <dc:creator>Lenovo</dc:creator>
  <cp:lastModifiedBy>Lenovo</cp:lastModifiedBy>
  <dcterms:modified xsi:type="dcterms:W3CDTF">2022-08-02T10:24:44Z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